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252AB" w14:textId="073EF7ED" w:rsidR="00604BB2" w:rsidRDefault="00604BB2">
      <w:pPr>
        <w:rPr>
          <w:noProof/>
        </w:rPr>
      </w:pPr>
    </w:p>
    <w:p w14:paraId="7E2AC300" w14:textId="7F7E2BD3" w:rsidR="00604BB2" w:rsidRDefault="00604BB2" w:rsidP="00604BB2">
      <w:pPr>
        <w:rPr>
          <w:b/>
          <w:bCs/>
          <w:noProof/>
          <w:sz w:val="36"/>
          <w:szCs w:val="36"/>
          <w:u w:val="single"/>
        </w:rPr>
      </w:pPr>
      <w:r>
        <w:rPr>
          <w:noProof/>
        </w:rPr>
        <w:drawing>
          <wp:inline distT="0" distB="0" distL="0" distR="0" wp14:anchorId="6721EB81" wp14:editId="2AC5C0B2">
            <wp:extent cx="982345" cy="107060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0981" cy="1112710"/>
                    </a:xfrm>
                    <a:prstGeom prst="rect">
                      <a:avLst/>
                    </a:prstGeom>
                    <a:noFill/>
                    <a:ln>
                      <a:noFill/>
                    </a:ln>
                  </pic:spPr>
                </pic:pic>
              </a:graphicData>
            </a:graphic>
          </wp:inline>
        </w:drawing>
      </w:r>
      <w:r>
        <w:rPr>
          <w:b/>
          <w:bCs/>
          <w:noProof/>
          <w:sz w:val="36"/>
          <w:szCs w:val="36"/>
        </w:rPr>
        <w:t xml:space="preserve"> </w:t>
      </w:r>
      <w:r w:rsidRPr="00604BB2">
        <w:rPr>
          <w:rFonts w:ascii="Algerian" w:hAnsi="Algerian"/>
          <w:noProof/>
          <w:sz w:val="36"/>
          <w:szCs w:val="36"/>
          <w:u w:val="single"/>
        </w:rPr>
        <w:t>MINERAL INHERITORS RIGHTS ASSOCIATION</w:t>
      </w:r>
    </w:p>
    <w:p w14:paraId="26644294" w14:textId="66FD1FB2" w:rsidR="00604BB2" w:rsidRDefault="00604BB2" w:rsidP="00604BB2">
      <w:pPr>
        <w:rPr>
          <w:b/>
          <w:bCs/>
          <w:sz w:val="36"/>
          <w:szCs w:val="36"/>
        </w:rPr>
      </w:pPr>
    </w:p>
    <w:p w14:paraId="190400C6" w14:textId="00BCF4FB" w:rsidR="00604BB2" w:rsidRPr="00FA0CAE" w:rsidRDefault="00604BB2" w:rsidP="00604BB2">
      <w:pPr>
        <w:spacing w:after="11" w:line="249" w:lineRule="auto"/>
        <w:ind w:left="2818" w:right="2809"/>
        <w:jc w:val="center"/>
        <w:rPr>
          <w:rFonts w:cstheme="minorHAnsi"/>
          <w:sz w:val="26"/>
          <w:szCs w:val="26"/>
        </w:rPr>
      </w:pPr>
      <w:r>
        <w:rPr>
          <w:rFonts w:cstheme="minorHAnsi"/>
          <w:sz w:val="26"/>
          <w:szCs w:val="26"/>
        </w:rPr>
        <w:t>2</w:t>
      </w:r>
      <w:r w:rsidR="00765BB6">
        <w:rPr>
          <w:rFonts w:cstheme="minorHAnsi"/>
          <w:sz w:val="26"/>
          <w:szCs w:val="26"/>
        </w:rPr>
        <w:t>8</w:t>
      </w:r>
      <w:r>
        <w:rPr>
          <w:rFonts w:cstheme="minorHAnsi"/>
          <w:sz w:val="26"/>
          <w:szCs w:val="26"/>
        </w:rPr>
        <w:t>.8.2020</w:t>
      </w:r>
    </w:p>
    <w:p w14:paraId="499E5D75" w14:textId="77777777" w:rsidR="00604BB2" w:rsidRPr="00FA0CAE" w:rsidRDefault="00604BB2" w:rsidP="00604BB2">
      <w:pPr>
        <w:spacing w:after="0"/>
        <w:rPr>
          <w:rFonts w:cstheme="minorHAnsi"/>
          <w:sz w:val="26"/>
          <w:szCs w:val="26"/>
        </w:rPr>
      </w:pPr>
      <w:r w:rsidRPr="00FA0CAE">
        <w:rPr>
          <w:rFonts w:cstheme="minorHAnsi"/>
          <w:sz w:val="26"/>
          <w:szCs w:val="26"/>
        </w:rPr>
        <w:t xml:space="preserve"> </w:t>
      </w:r>
    </w:p>
    <w:p w14:paraId="5B742DD0" w14:textId="77777777" w:rsidR="00604BB2" w:rsidRPr="00FA0CAE" w:rsidRDefault="00604BB2" w:rsidP="00604BB2">
      <w:pPr>
        <w:pStyle w:val="NoSpacing"/>
        <w:rPr>
          <w:rFonts w:asciiTheme="minorHAnsi" w:hAnsiTheme="minorHAnsi" w:cstheme="minorHAnsi"/>
          <w:b/>
          <w:szCs w:val="26"/>
        </w:rPr>
      </w:pPr>
      <w:r>
        <w:rPr>
          <w:rFonts w:asciiTheme="minorHAnsi" w:hAnsiTheme="minorHAnsi" w:cstheme="minorHAnsi"/>
          <w:b/>
          <w:szCs w:val="26"/>
        </w:rPr>
        <w:t>Dr Veena Kumari Dermal</w:t>
      </w:r>
    </w:p>
    <w:p w14:paraId="130E7C60" w14:textId="77777777" w:rsidR="00604BB2" w:rsidRDefault="00604BB2" w:rsidP="00604BB2">
      <w:pPr>
        <w:pStyle w:val="NoSpacing"/>
        <w:rPr>
          <w:rFonts w:asciiTheme="minorHAnsi" w:hAnsiTheme="minorHAnsi" w:cstheme="minorHAnsi"/>
          <w:szCs w:val="26"/>
        </w:rPr>
      </w:pPr>
      <w:r>
        <w:rPr>
          <w:rFonts w:asciiTheme="minorHAnsi" w:hAnsiTheme="minorHAnsi" w:cstheme="minorHAnsi"/>
          <w:szCs w:val="26"/>
        </w:rPr>
        <w:t>Director</w:t>
      </w:r>
    </w:p>
    <w:p w14:paraId="2DC6335C" w14:textId="77777777" w:rsidR="00604BB2" w:rsidRPr="00FA0CAE" w:rsidRDefault="00604BB2" w:rsidP="00604BB2">
      <w:pPr>
        <w:pStyle w:val="NoSpacing"/>
        <w:rPr>
          <w:rFonts w:asciiTheme="minorHAnsi" w:hAnsiTheme="minorHAnsi" w:cstheme="minorHAnsi"/>
          <w:szCs w:val="26"/>
        </w:rPr>
      </w:pPr>
      <w:r w:rsidRPr="00FA0CAE">
        <w:rPr>
          <w:rFonts w:asciiTheme="minorHAnsi" w:hAnsiTheme="minorHAnsi" w:cstheme="minorHAnsi"/>
          <w:szCs w:val="26"/>
        </w:rPr>
        <w:t>Government of India</w:t>
      </w:r>
    </w:p>
    <w:p w14:paraId="27AD2B03" w14:textId="77777777" w:rsidR="00604BB2" w:rsidRDefault="00604BB2" w:rsidP="00604BB2">
      <w:pPr>
        <w:pStyle w:val="NoSpacing"/>
        <w:rPr>
          <w:rFonts w:asciiTheme="minorHAnsi" w:hAnsiTheme="minorHAnsi" w:cstheme="minorHAnsi"/>
          <w:szCs w:val="26"/>
        </w:rPr>
      </w:pPr>
      <w:r>
        <w:rPr>
          <w:rFonts w:asciiTheme="minorHAnsi" w:hAnsiTheme="minorHAnsi" w:cstheme="minorHAnsi"/>
          <w:szCs w:val="26"/>
        </w:rPr>
        <w:t>Ministry of Mines</w:t>
      </w:r>
    </w:p>
    <w:p w14:paraId="3957DCB8" w14:textId="77777777" w:rsidR="00604BB2" w:rsidRDefault="00604BB2" w:rsidP="00604BB2">
      <w:pPr>
        <w:pStyle w:val="NoSpacing"/>
        <w:rPr>
          <w:rFonts w:asciiTheme="minorHAnsi" w:hAnsiTheme="minorHAnsi" w:cstheme="minorHAnsi"/>
          <w:szCs w:val="26"/>
        </w:rPr>
      </w:pPr>
      <w:r>
        <w:rPr>
          <w:rFonts w:asciiTheme="minorHAnsi" w:hAnsiTheme="minorHAnsi" w:cstheme="minorHAnsi"/>
          <w:szCs w:val="26"/>
        </w:rPr>
        <w:t>Room 308, D-Wing, Shastri Bhawan</w:t>
      </w:r>
    </w:p>
    <w:p w14:paraId="7ABB5562" w14:textId="77777777" w:rsidR="00604BB2" w:rsidRPr="00FA0CAE" w:rsidRDefault="00604BB2" w:rsidP="00604BB2">
      <w:pPr>
        <w:pStyle w:val="NoSpacing"/>
        <w:rPr>
          <w:rFonts w:asciiTheme="minorHAnsi" w:hAnsiTheme="minorHAnsi" w:cstheme="minorHAnsi"/>
          <w:szCs w:val="26"/>
        </w:rPr>
      </w:pPr>
      <w:r w:rsidRPr="00FA0CAE">
        <w:rPr>
          <w:rFonts w:asciiTheme="minorHAnsi" w:hAnsiTheme="minorHAnsi" w:cstheme="minorHAnsi"/>
          <w:szCs w:val="26"/>
        </w:rPr>
        <w:t>New Delhi 110001</w:t>
      </w:r>
    </w:p>
    <w:p w14:paraId="7FC788EF" w14:textId="77777777" w:rsidR="00604BB2" w:rsidRDefault="00604BB2" w:rsidP="00604BB2">
      <w:pPr>
        <w:spacing w:after="13"/>
        <w:ind w:left="-5"/>
        <w:rPr>
          <w:rFonts w:cstheme="minorHAnsi"/>
          <w:sz w:val="26"/>
          <w:szCs w:val="26"/>
        </w:rPr>
      </w:pPr>
      <w:r>
        <w:rPr>
          <w:rFonts w:cstheme="minorHAnsi"/>
          <w:sz w:val="26"/>
          <w:szCs w:val="26"/>
        </w:rPr>
        <w:t>veena.kumarid@gov.in</w:t>
      </w:r>
    </w:p>
    <w:p w14:paraId="24DD2E3D" w14:textId="77777777" w:rsidR="00604BB2" w:rsidRPr="00FA0CAE" w:rsidRDefault="00604BB2" w:rsidP="00604BB2">
      <w:pPr>
        <w:spacing w:after="13"/>
        <w:ind w:left="-5"/>
        <w:rPr>
          <w:rFonts w:cstheme="minorHAnsi"/>
          <w:sz w:val="26"/>
          <w:szCs w:val="26"/>
        </w:rPr>
      </w:pPr>
    </w:p>
    <w:p w14:paraId="5443A5E9" w14:textId="663AE5EB" w:rsidR="00604BB2" w:rsidRPr="00FA0CAE" w:rsidRDefault="00604BB2" w:rsidP="00044331">
      <w:pPr>
        <w:spacing w:after="13"/>
        <w:ind w:left="-5"/>
        <w:jc w:val="both"/>
        <w:rPr>
          <w:rFonts w:cstheme="minorHAnsi"/>
          <w:b/>
          <w:sz w:val="26"/>
          <w:szCs w:val="26"/>
        </w:rPr>
      </w:pPr>
      <w:r w:rsidRPr="00FA0CAE">
        <w:rPr>
          <w:rFonts w:cstheme="minorHAnsi"/>
          <w:b/>
          <w:sz w:val="26"/>
          <w:szCs w:val="26"/>
        </w:rPr>
        <w:t xml:space="preserve">Subj: </w:t>
      </w:r>
      <w:r w:rsidR="00044331" w:rsidRPr="00044331">
        <w:rPr>
          <w:rFonts w:cstheme="minorHAnsi"/>
          <w:b/>
          <w:sz w:val="26"/>
          <w:szCs w:val="26"/>
        </w:rPr>
        <w:t xml:space="preserve">Violation </w:t>
      </w:r>
      <w:r w:rsidR="001B687E" w:rsidRPr="00044331">
        <w:rPr>
          <w:rFonts w:cstheme="minorHAnsi"/>
          <w:b/>
          <w:sz w:val="26"/>
          <w:szCs w:val="26"/>
        </w:rPr>
        <w:t>of Pre</w:t>
      </w:r>
      <w:r w:rsidR="00044331" w:rsidRPr="00044331">
        <w:rPr>
          <w:rFonts w:cstheme="minorHAnsi"/>
          <w:b/>
          <w:sz w:val="26"/>
          <w:szCs w:val="26"/>
        </w:rPr>
        <w:t>-Legislative Consultation Policy (2014) and Right to Information Act in the p</w:t>
      </w:r>
      <w:r w:rsidRPr="00044331">
        <w:rPr>
          <w:rFonts w:cstheme="minorHAnsi"/>
          <w:b/>
          <w:sz w:val="26"/>
          <w:szCs w:val="26"/>
        </w:rPr>
        <w:t>roposed mining reforms</w:t>
      </w:r>
    </w:p>
    <w:p w14:paraId="4240CDFC" w14:textId="77777777" w:rsidR="00604BB2" w:rsidRPr="00FA0CAE" w:rsidRDefault="00604BB2" w:rsidP="00604BB2">
      <w:pPr>
        <w:spacing w:after="0"/>
        <w:rPr>
          <w:rFonts w:cstheme="minorHAnsi"/>
          <w:sz w:val="26"/>
          <w:szCs w:val="26"/>
        </w:rPr>
      </w:pPr>
      <w:r w:rsidRPr="00FA0CAE">
        <w:rPr>
          <w:rFonts w:cstheme="minorHAnsi"/>
          <w:sz w:val="26"/>
          <w:szCs w:val="26"/>
        </w:rPr>
        <w:t xml:space="preserve"> </w:t>
      </w:r>
    </w:p>
    <w:p w14:paraId="4B2B1D6E" w14:textId="43F63E13" w:rsidR="00604BB2" w:rsidRPr="00FA0CAE" w:rsidRDefault="00604BB2" w:rsidP="00044331">
      <w:pPr>
        <w:spacing w:after="13"/>
        <w:ind w:left="-5"/>
        <w:jc w:val="both"/>
        <w:rPr>
          <w:rFonts w:cstheme="minorHAnsi"/>
          <w:sz w:val="26"/>
          <w:szCs w:val="26"/>
        </w:rPr>
      </w:pPr>
      <w:r w:rsidRPr="00FA0CAE">
        <w:rPr>
          <w:rFonts w:cstheme="minorHAnsi"/>
          <w:sz w:val="26"/>
          <w:szCs w:val="26"/>
        </w:rPr>
        <w:t xml:space="preserve">Dear </w:t>
      </w:r>
      <w:r w:rsidR="001B687E" w:rsidRPr="00FA0CAE">
        <w:rPr>
          <w:rFonts w:cstheme="minorHAnsi"/>
          <w:sz w:val="26"/>
          <w:szCs w:val="26"/>
        </w:rPr>
        <w:t>Dr</w:t>
      </w:r>
      <w:r w:rsidR="001B687E">
        <w:rPr>
          <w:rFonts w:cstheme="minorHAnsi"/>
          <w:sz w:val="26"/>
          <w:szCs w:val="26"/>
        </w:rPr>
        <w:t xml:space="preserve">. </w:t>
      </w:r>
      <w:r>
        <w:rPr>
          <w:rFonts w:cstheme="minorHAnsi"/>
          <w:sz w:val="26"/>
          <w:szCs w:val="26"/>
        </w:rPr>
        <w:t>Dermal</w:t>
      </w:r>
      <w:r w:rsidRPr="00FA0CAE">
        <w:rPr>
          <w:rFonts w:cstheme="minorHAnsi"/>
          <w:sz w:val="26"/>
          <w:szCs w:val="26"/>
        </w:rPr>
        <w:t>,</w:t>
      </w:r>
    </w:p>
    <w:p w14:paraId="5014D97B" w14:textId="77777777" w:rsidR="00604BB2" w:rsidRPr="00FA0CAE" w:rsidRDefault="00604BB2" w:rsidP="00044331">
      <w:pPr>
        <w:spacing w:after="0"/>
        <w:jc w:val="both"/>
        <w:rPr>
          <w:rFonts w:cstheme="minorHAnsi"/>
          <w:sz w:val="26"/>
          <w:szCs w:val="26"/>
        </w:rPr>
      </w:pPr>
      <w:r w:rsidRPr="00FA0CAE">
        <w:rPr>
          <w:rFonts w:cstheme="minorHAnsi"/>
          <w:sz w:val="26"/>
          <w:szCs w:val="26"/>
        </w:rPr>
        <w:t xml:space="preserve"> </w:t>
      </w:r>
    </w:p>
    <w:p w14:paraId="4AE81954" w14:textId="1180B61A" w:rsidR="00604BB2" w:rsidRDefault="00044331" w:rsidP="00044331">
      <w:pPr>
        <w:spacing w:after="0"/>
        <w:ind w:left="-5"/>
        <w:jc w:val="both"/>
        <w:rPr>
          <w:rFonts w:cstheme="minorHAnsi"/>
          <w:sz w:val="26"/>
          <w:szCs w:val="26"/>
        </w:rPr>
      </w:pPr>
      <w:r>
        <w:rPr>
          <w:rFonts w:cstheme="minorHAnsi"/>
          <w:sz w:val="26"/>
          <w:szCs w:val="26"/>
        </w:rPr>
        <w:t xml:space="preserve">This is with reference to the </w:t>
      </w:r>
      <w:r w:rsidR="00604BB2">
        <w:rPr>
          <w:rFonts w:cstheme="minorHAnsi"/>
          <w:sz w:val="26"/>
          <w:szCs w:val="26"/>
        </w:rPr>
        <w:t>notice</w:t>
      </w:r>
      <w:r>
        <w:rPr>
          <w:rFonts w:cstheme="minorHAnsi"/>
          <w:sz w:val="26"/>
          <w:szCs w:val="26"/>
        </w:rPr>
        <w:t xml:space="preserve"> that has been uploaded on Ministry of Mines website</w:t>
      </w:r>
      <w:r w:rsidR="00604BB2">
        <w:rPr>
          <w:rFonts w:cstheme="minorHAnsi"/>
          <w:sz w:val="26"/>
          <w:szCs w:val="26"/>
        </w:rPr>
        <w:t xml:space="preserve"> </w:t>
      </w:r>
      <w:r>
        <w:rPr>
          <w:rFonts w:cstheme="minorHAnsi"/>
          <w:sz w:val="26"/>
          <w:szCs w:val="26"/>
        </w:rPr>
        <w:t>on 24-August-2020 seeking public</w:t>
      </w:r>
      <w:r w:rsidR="00604BB2">
        <w:rPr>
          <w:rFonts w:cstheme="minorHAnsi"/>
          <w:sz w:val="26"/>
          <w:szCs w:val="26"/>
        </w:rPr>
        <w:t xml:space="preserve"> comments on substantial matters of reform of mineral laws, rules and regulations within a period of 10 days, i</w:t>
      </w:r>
      <w:r w:rsidR="00313375">
        <w:rPr>
          <w:rFonts w:cstheme="minorHAnsi"/>
          <w:sz w:val="26"/>
          <w:szCs w:val="26"/>
        </w:rPr>
        <w:t>.</w:t>
      </w:r>
      <w:r w:rsidR="00604BB2">
        <w:rPr>
          <w:rFonts w:cstheme="minorHAnsi"/>
          <w:sz w:val="26"/>
          <w:szCs w:val="26"/>
        </w:rPr>
        <w:t xml:space="preserve">e, 3-Sep-2020. </w:t>
      </w:r>
      <w:r w:rsidR="00313375">
        <w:rPr>
          <w:rFonts w:cstheme="minorHAnsi"/>
          <w:sz w:val="26"/>
          <w:szCs w:val="26"/>
        </w:rPr>
        <w:t xml:space="preserve">It is a matter of great concern to us on the deadline mentioned in the notice. This is to bring your kind attention that wherein 30 days is provided for a </w:t>
      </w:r>
      <w:r w:rsidR="00604BB2">
        <w:rPr>
          <w:rFonts w:cstheme="minorHAnsi"/>
          <w:sz w:val="26"/>
          <w:szCs w:val="26"/>
        </w:rPr>
        <w:t>local level public consultation</w:t>
      </w:r>
      <w:r w:rsidR="00313375">
        <w:rPr>
          <w:rFonts w:cstheme="minorHAnsi"/>
          <w:sz w:val="26"/>
          <w:szCs w:val="26"/>
        </w:rPr>
        <w:t>, you have provided only 10 days for</w:t>
      </w:r>
      <w:r w:rsidR="00F81B76">
        <w:rPr>
          <w:rFonts w:cstheme="minorHAnsi"/>
          <w:sz w:val="26"/>
          <w:szCs w:val="26"/>
        </w:rPr>
        <w:t xml:space="preserve"> the proposed mining reforms that is extremely crucial and</w:t>
      </w:r>
      <w:r w:rsidR="00313375">
        <w:rPr>
          <w:rFonts w:cstheme="minorHAnsi"/>
          <w:sz w:val="26"/>
          <w:szCs w:val="26"/>
        </w:rPr>
        <w:t xml:space="preserve"> would have huge implications</w:t>
      </w:r>
      <w:r w:rsidR="00F81B76">
        <w:rPr>
          <w:rFonts w:cstheme="minorHAnsi"/>
          <w:sz w:val="26"/>
          <w:szCs w:val="26"/>
        </w:rPr>
        <w:t xml:space="preserve"> across the country.</w:t>
      </w:r>
      <w:r w:rsidR="00313375">
        <w:rPr>
          <w:rFonts w:cstheme="minorHAnsi"/>
          <w:sz w:val="26"/>
          <w:szCs w:val="26"/>
        </w:rPr>
        <w:t xml:space="preserve"> </w:t>
      </w:r>
      <w:r w:rsidR="001849C3">
        <w:rPr>
          <w:rFonts w:cstheme="minorHAnsi"/>
          <w:sz w:val="26"/>
          <w:szCs w:val="26"/>
        </w:rPr>
        <w:t xml:space="preserve">Such decisions cannot be taken in haste </w:t>
      </w:r>
      <w:r w:rsidR="003F2A25">
        <w:rPr>
          <w:rFonts w:cstheme="minorHAnsi"/>
          <w:sz w:val="26"/>
          <w:szCs w:val="26"/>
        </w:rPr>
        <w:t xml:space="preserve">when the State governments have not yet been consulted and a 10-day period for the States to respond undermines the federal spirit of this nation. </w:t>
      </w:r>
      <w:r w:rsidR="00604BB2">
        <w:rPr>
          <w:rFonts w:cstheme="minorHAnsi"/>
          <w:sz w:val="26"/>
          <w:szCs w:val="26"/>
        </w:rPr>
        <w:t>This is not even enough time to seek information under the RTI Act to evaluate the proposals meaningfully. We note that this violates the Pre-Legislative Consultation Policy (PLCP) of the Government of India, especially point 2 of the decisions taken in the meeting of the Committee of Secretaries held on 10-January-2014</w:t>
      </w:r>
      <w:r w:rsidR="00604BB2">
        <w:rPr>
          <w:rStyle w:val="FootnoteReference"/>
          <w:rFonts w:cstheme="minorHAnsi"/>
          <w:sz w:val="26"/>
          <w:szCs w:val="26"/>
        </w:rPr>
        <w:footnoteReference w:id="1"/>
      </w:r>
      <w:r w:rsidR="00604BB2">
        <w:rPr>
          <w:rFonts w:cstheme="minorHAnsi"/>
          <w:sz w:val="26"/>
          <w:szCs w:val="26"/>
        </w:rPr>
        <w:t>.</w:t>
      </w:r>
    </w:p>
    <w:p w14:paraId="45207698" w14:textId="77777777" w:rsidR="00604BB2" w:rsidRPr="00FA0CAE" w:rsidRDefault="00604BB2" w:rsidP="00044331">
      <w:pPr>
        <w:spacing w:after="0"/>
        <w:ind w:left="-5"/>
        <w:jc w:val="both"/>
      </w:pPr>
    </w:p>
    <w:p w14:paraId="09727F36" w14:textId="77777777" w:rsidR="00604BB2" w:rsidRDefault="00604BB2" w:rsidP="00044331">
      <w:pPr>
        <w:spacing w:after="0"/>
        <w:ind w:left="-5"/>
        <w:jc w:val="both"/>
        <w:rPr>
          <w:rFonts w:cstheme="minorHAnsi"/>
          <w:sz w:val="26"/>
          <w:szCs w:val="26"/>
        </w:rPr>
      </w:pPr>
      <w:r>
        <w:rPr>
          <w:rFonts w:cstheme="minorHAnsi"/>
          <w:sz w:val="26"/>
          <w:szCs w:val="26"/>
        </w:rPr>
        <w:t>Your notice proposes changes as follows:</w:t>
      </w:r>
    </w:p>
    <w:p w14:paraId="0886F3DE" w14:textId="77777777" w:rsidR="00604BB2" w:rsidRPr="007F0989" w:rsidRDefault="00604BB2" w:rsidP="00044331">
      <w:pPr>
        <w:pStyle w:val="ListParagraph"/>
        <w:numPr>
          <w:ilvl w:val="0"/>
          <w:numId w:val="1"/>
        </w:numPr>
        <w:spacing w:after="0"/>
        <w:jc w:val="both"/>
        <w:rPr>
          <w:rFonts w:asciiTheme="minorHAnsi" w:hAnsiTheme="minorHAnsi" w:cstheme="minorHAnsi"/>
          <w:szCs w:val="26"/>
        </w:rPr>
      </w:pPr>
      <w:r w:rsidRPr="007F0989">
        <w:rPr>
          <w:rFonts w:asciiTheme="minorHAnsi" w:hAnsiTheme="minorHAnsi" w:cstheme="minorHAnsi"/>
          <w:szCs w:val="26"/>
        </w:rPr>
        <w:lastRenderedPageBreak/>
        <w:t>Changing norms for exploration for auction and seamless transition from exploration to production</w:t>
      </w:r>
    </w:p>
    <w:p w14:paraId="3C46366F" w14:textId="77777777" w:rsidR="00604BB2" w:rsidRPr="007F0989" w:rsidRDefault="00604BB2" w:rsidP="00044331">
      <w:pPr>
        <w:pStyle w:val="ListParagraph"/>
        <w:numPr>
          <w:ilvl w:val="1"/>
          <w:numId w:val="1"/>
        </w:numPr>
        <w:spacing w:after="0"/>
        <w:ind w:left="720"/>
        <w:jc w:val="both"/>
        <w:rPr>
          <w:rFonts w:asciiTheme="minorHAnsi" w:hAnsiTheme="minorHAnsi" w:cstheme="minorHAnsi"/>
          <w:szCs w:val="26"/>
        </w:rPr>
      </w:pPr>
      <w:r w:rsidRPr="007F0989">
        <w:rPr>
          <w:rFonts w:asciiTheme="minorHAnsi" w:hAnsiTheme="minorHAnsi" w:cstheme="minorHAnsi"/>
          <w:szCs w:val="26"/>
        </w:rPr>
        <w:t>Auction of G-4 blocks for seamless exploration and prospecting</w:t>
      </w:r>
    </w:p>
    <w:p w14:paraId="6CA30F4C" w14:textId="77777777" w:rsidR="00604BB2" w:rsidRPr="007F0989" w:rsidRDefault="00604BB2" w:rsidP="00044331">
      <w:pPr>
        <w:pStyle w:val="ListParagraph"/>
        <w:numPr>
          <w:ilvl w:val="1"/>
          <w:numId w:val="1"/>
        </w:numPr>
        <w:spacing w:after="0"/>
        <w:ind w:left="720"/>
        <w:jc w:val="both"/>
        <w:rPr>
          <w:rFonts w:asciiTheme="minorHAnsi" w:hAnsiTheme="minorHAnsi" w:cstheme="minorHAnsi"/>
          <w:szCs w:val="26"/>
        </w:rPr>
      </w:pPr>
      <w:r w:rsidRPr="007F0989">
        <w:rPr>
          <w:rFonts w:asciiTheme="minorHAnsi" w:hAnsiTheme="minorHAnsi" w:cstheme="minorHAnsi"/>
          <w:szCs w:val="26"/>
        </w:rPr>
        <w:t>Private entities in exploration work (regional exploration)</w:t>
      </w:r>
    </w:p>
    <w:p w14:paraId="468EC1AF" w14:textId="77777777" w:rsidR="00604BB2" w:rsidRPr="007F0989" w:rsidRDefault="00604BB2" w:rsidP="00044331">
      <w:pPr>
        <w:pStyle w:val="ListParagraph"/>
        <w:numPr>
          <w:ilvl w:val="1"/>
          <w:numId w:val="1"/>
        </w:numPr>
        <w:spacing w:after="0"/>
        <w:ind w:left="720"/>
        <w:jc w:val="both"/>
        <w:rPr>
          <w:rFonts w:asciiTheme="minorHAnsi" w:hAnsiTheme="minorHAnsi" w:cstheme="minorHAnsi"/>
          <w:szCs w:val="26"/>
        </w:rPr>
      </w:pPr>
      <w:r w:rsidRPr="007F0989">
        <w:rPr>
          <w:rFonts w:asciiTheme="minorHAnsi" w:hAnsiTheme="minorHAnsi" w:cstheme="minorHAnsi"/>
          <w:szCs w:val="26"/>
        </w:rPr>
        <w:t>Private exploration funded by NMET</w:t>
      </w:r>
    </w:p>
    <w:p w14:paraId="6DA91FC7" w14:textId="77777777" w:rsidR="00604BB2" w:rsidRPr="007F0989" w:rsidRDefault="00604BB2" w:rsidP="00044331">
      <w:pPr>
        <w:pStyle w:val="ListParagraph"/>
        <w:numPr>
          <w:ilvl w:val="0"/>
          <w:numId w:val="1"/>
        </w:numPr>
        <w:spacing w:after="0"/>
        <w:jc w:val="both"/>
        <w:rPr>
          <w:rFonts w:asciiTheme="minorHAnsi" w:hAnsiTheme="minorHAnsi" w:cstheme="minorHAnsi"/>
          <w:szCs w:val="26"/>
        </w:rPr>
      </w:pPr>
      <w:r w:rsidRPr="007F0989">
        <w:rPr>
          <w:rFonts w:asciiTheme="minorHAnsi" w:hAnsiTheme="minorHAnsi" w:cstheme="minorHAnsi"/>
          <w:szCs w:val="26"/>
        </w:rPr>
        <w:t>Resolving legacy issues u/S 10A(2)(b) and 10A(2)(c), reimburse exploration costs under NMET</w:t>
      </w:r>
    </w:p>
    <w:p w14:paraId="0C3500E5" w14:textId="77777777" w:rsidR="00604BB2" w:rsidRPr="007F0989" w:rsidRDefault="00604BB2" w:rsidP="00044331">
      <w:pPr>
        <w:pStyle w:val="ListParagraph"/>
        <w:numPr>
          <w:ilvl w:val="0"/>
          <w:numId w:val="1"/>
        </w:numPr>
        <w:spacing w:after="0"/>
        <w:jc w:val="both"/>
        <w:rPr>
          <w:rFonts w:asciiTheme="minorHAnsi" w:hAnsiTheme="minorHAnsi" w:cstheme="minorHAnsi"/>
          <w:szCs w:val="26"/>
        </w:rPr>
      </w:pPr>
      <w:r w:rsidRPr="007F0989">
        <w:rPr>
          <w:rFonts w:asciiTheme="minorHAnsi" w:hAnsiTheme="minorHAnsi" w:cstheme="minorHAnsi"/>
          <w:szCs w:val="26"/>
        </w:rPr>
        <w:t>Removing distinction between captive and non-captive mines</w:t>
      </w:r>
    </w:p>
    <w:p w14:paraId="686FFE5F" w14:textId="77777777" w:rsidR="00604BB2" w:rsidRPr="007F0989" w:rsidRDefault="00604BB2" w:rsidP="00044331">
      <w:pPr>
        <w:pStyle w:val="ListParagraph"/>
        <w:numPr>
          <w:ilvl w:val="1"/>
          <w:numId w:val="1"/>
        </w:numPr>
        <w:spacing w:after="0"/>
        <w:ind w:left="720"/>
        <w:jc w:val="both"/>
        <w:rPr>
          <w:rFonts w:asciiTheme="minorHAnsi" w:hAnsiTheme="minorHAnsi" w:cstheme="minorHAnsi"/>
          <w:szCs w:val="26"/>
        </w:rPr>
      </w:pPr>
      <w:r w:rsidRPr="007F0989">
        <w:rPr>
          <w:rFonts w:asciiTheme="minorHAnsi" w:hAnsiTheme="minorHAnsi" w:cstheme="minorHAnsi"/>
          <w:szCs w:val="26"/>
        </w:rPr>
        <w:t>All future blocks not earmarked</w:t>
      </w:r>
    </w:p>
    <w:p w14:paraId="2B7E70A8" w14:textId="77777777" w:rsidR="00604BB2" w:rsidRPr="007F0989" w:rsidRDefault="00604BB2" w:rsidP="00044331">
      <w:pPr>
        <w:pStyle w:val="ListParagraph"/>
        <w:numPr>
          <w:ilvl w:val="1"/>
          <w:numId w:val="1"/>
        </w:numPr>
        <w:spacing w:after="0"/>
        <w:ind w:left="720"/>
        <w:jc w:val="both"/>
        <w:rPr>
          <w:rFonts w:asciiTheme="minorHAnsi" w:hAnsiTheme="minorHAnsi" w:cstheme="minorHAnsi"/>
          <w:szCs w:val="26"/>
        </w:rPr>
      </w:pPr>
      <w:r w:rsidRPr="007F0989">
        <w:rPr>
          <w:rFonts w:asciiTheme="minorHAnsi" w:hAnsiTheme="minorHAnsi" w:cstheme="minorHAnsi"/>
          <w:szCs w:val="26"/>
        </w:rPr>
        <w:t>Removing first right of refusal for captive miners</w:t>
      </w:r>
    </w:p>
    <w:p w14:paraId="2CB4B752" w14:textId="77777777" w:rsidR="00604BB2" w:rsidRPr="007F0989" w:rsidRDefault="00604BB2" w:rsidP="00044331">
      <w:pPr>
        <w:pStyle w:val="ListParagraph"/>
        <w:numPr>
          <w:ilvl w:val="1"/>
          <w:numId w:val="1"/>
        </w:numPr>
        <w:spacing w:after="0"/>
        <w:ind w:left="720"/>
        <w:jc w:val="both"/>
        <w:rPr>
          <w:rFonts w:asciiTheme="minorHAnsi" w:hAnsiTheme="minorHAnsi" w:cstheme="minorHAnsi"/>
          <w:szCs w:val="26"/>
        </w:rPr>
      </w:pPr>
      <w:r w:rsidRPr="007F0989">
        <w:rPr>
          <w:rFonts w:asciiTheme="minorHAnsi" w:hAnsiTheme="minorHAnsi" w:cstheme="minorHAnsi"/>
          <w:szCs w:val="26"/>
        </w:rPr>
        <w:t>Raising limit of 25% of production for merchant use to 50%</w:t>
      </w:r>
    </w:p>
    <w:p w14:paraId="2BE999E9" w14:textId="77777777" w:rsidR="00604BB2" w:rsidRPr="007F0989" w:rsidRDefault="00604BB2" w:rsidP="00044331">
      <w:pPr>
        <w:pStyle w:val="ListParagraph"/>
        <w:numPr>
          <w:ilvl w:val="0"/>
          <w:numId w:val="1"/>
        </w:numPr>
        <w:spacing w:after="0"/>
        <w:jc w:val="both"/>
        <w:rPr>
          <w:rFonts w:asciiTheme="minorHAnsi" w:hAnsiTheme="minorHAnsi" w:cstheme="minorHAnsi"/>
          <w:szCs w:val="26"/>
        </w:rPr>
      </w:pPr>
      <w:r>
        <w:rPr>
          <w:rFonts w:asciiTheme="minorHAnsi" w:hAnsiTheme="minorHAnsi" w:cstheme="minorHAnsi"/>
          <w:szCs w:val="26"/>
        </w:rPr>
        <w:t xml:space="preserve">Creation of a </w:t>
      </w:r>
      <w:r w:rsidRPr="007F0989">
        <w:rPr>
          <w:rFonts w:asciiTheme="minorHAnsi" w:hAnsiTheme="minorHAnsi" w:cstheme="minorHAnsi"/>
          <w:szCs w:val="26"/>
        </w:rPr>
        <w:t>National Mineral Index</w:t>
      </w:r>
    </w:p>
    <w:p w14:paraId="3BC2404F" w14:textId="77777777" w:rsidR="00604BB2" w:rsidRPr="007F0989" w:rsidRDefault="00604BB2" w:rsidP="00044331">
      <w:pPr>
        <w:pStyle w:val="ListParagraph"/>
        <w:numPr>
          <w:ilvl w:val="0"/>
          <w:numId w:val="1"/>
        </w:numPr>
        <w:spacing w:after="0"/>
        <w:jc w:val="both"/>
        <w:rPr>
          <w:rFonts w:asciiTheme="minorHAnsi" w:hAnsiTheme="minorHAnsi" w:cstheme="minorHAnsi"/>
          <w:szCs w:val="26"/>
        </w:rPr>
      </w:pPr>
      <w:r w:rsidRPr="007F0989">
        <w:rPr>
          <w:rFonts w:asciiTheme="minorHAnsi" w:hAnsiTheme="minorHAnsi" w:cstheme="minorHAnsi"/>
          <w:szCs w:val="26"/>
        </w:rPr>
        <w:t>Clarify definition of illegal mining – u/S 21(4), 21(5) and to be prospective</w:t>
      </w:r>
    </w:p>
    <w:p w14:paraId="2629E72D" w14:textId="77777777" w:rsidR="00604BB2" w:rsidRPr="007F0989" w:rsidRDefault="00604BB2" w:rsidP="00044331">
      <w:pPr>
        <w:pStyle w:val="ListParagraph"/>
        <w:numPr>
          <w:ilvl w:val="0"/>
          <w:numId w:val="1"/>
        </w:numPr>
        <w:spacing w:after="0"/>
        <w:jc w:val="both"/>
        <w:rPr>
          <w:rFonts w:asciiTheme="minorHAnsi" w:hAnsiTheme="minorHAnsi" w:cstheme="minorHAnsi"/>
          <w:szCs w:val="26"/>
        </w:rPr>
      </w:pPr>
      <w:r w:rsidRPr="007F0989">
        <w:rPr>
          <w:rFonts w:asciiTheme="minorHAnsi" w:hAnsiTheme="minorHAnsi" w:cstheme="minorHAnsi"/>
          <w:szCs w:val="26"/>
        </w:rPr>
        <w:t>Rationalize stamp duty</w:t>
      </w:r>
    </w:p>
    <w:p w14:paraId="30965FF9" w14:textId="77777777" w:rsidR="00604BB2" w:rsidRPr="007F0989" w:rsidRDefault="00604BB2" w:rsidP="00044331">
      <w:pPr>
        <w:pStyle w:val="ListParagraph"/>
        <w:numPr>
          <w:ilvl w:val="0"/>
          <w:numId w:val="1"/>
        </w:numPr>
        <w:spacing w:after="0"/>
        <w:jc w:val="both"/>
        <w:rPr>
          <w:rFonts w:asciiTheme="minorHAnsi" w:hAnsiTheme="minorHAnsi" w:cstheme="minorHAnsi"/>
          <w:szCs w:val="26"/>
        </w:rPr>
      </w:pPr>
      <w:r w:rsidRPr="007F0989">
        <w:rPr>
          <w:rFonts w:asciiTheme="minorHAnsi" w:hAnsiTheme="minorHAnsi" w:cstheme="minorHAnsi"/>
          <w:szCs w:val="26"/>
        </w:rPr>
        <w:t>Focus DMF on creating tangible assets, as per Parliamentary Standing Committee – amendment to Section 9B</w:t>
      </w:r>
    </w:p>
    <w:p w14:paraId="13EC96E5" w14:textId="77777777" w:rsidR="00604BB2" w:rsidRPr="007F0989" w:rsidRDefault="00604BB2" w:rsidP="00044331">
      <w:pPr>
        <w:pStyle w:val="ListParagraph"/>
        <w:numPr>
          <w:ilvl w:val="0"/>
          <w:numId w:val="1"/>
        </w:numPr>
        <w:spacing w:after="0"/>
        <w:jc w:val="both"/>
        <w:rPr>
          <w:rFonts w:asciiTheme="minorHAnsi" w:hAnsiTheme="minorHAnsi" w:cstheme="minorHAnsi"/>
          <w:szCs w:val="26"/>
        </w:rPr>
      </w:pPr>
      <w:r w:rsidRPr="007F0989">
        <w:rPr>
          <w:rFonts w:asciiTheme="minorHAnsi" w:hAnsiTheme="minorHAnsi" w:cstheme="minorHAnsi"/>
          <w:szCs w:val="26"/>
        </w:rPr>
        <w:t>Bring unused blocks into production to generate employment – time limit to achieve production, both for private and public sector</w:t>
      </w:r>
    </w:p>
    <w:p w14:paraId="766594F2" w14:textId="77777777" w:rsidR="00604BB2" w:rsidRDefault="00604BB2" w:rsidP="00044331">
      <w:pPr>
        <w:pStyle w:val="ListParagraph"/>
        <w:numPr>
          <w:ilvl w:val="0"/>
          <w:numId w:val="1"/>
        </w:numPr>
        <w:spacing w:after="0"/>
        <w:jc w:val="both"/>
        <w:rPr>
          <w:rFonts w:asciiTheme="minorHAnsi" w:hAnsiTheme="minorHAnsi" w:cstheme="minorHAnsi"/>
          <w:szCs w:val="26"/>
        </w:rPr>
      </w:pPr>
      <w:r w:rsidRPr="007F0989">
        <w:rPr>
          <w:rFonts w:asciiTheme="minorHAnsi" w:hAnsiTheme="minorHAnsi" w:cstheme="minorHAnsi"/>
          <w:szCs w:val="26"/>
        </w:rPr>
        <w:t xml:space="preserve">Make NMET truly autonomous; entities notified u/S 4(1) eligible for NMET </w:t>
      </w:r>
    </w:p>
    <w:p w14:paraId="32100C3D" w14:textId="77777777" w:rsidR="00604BB2" w:rsidRDefault="00604BB2" w:rsidP="00044331">
      <w:pPr>
        <w:spacing w:after="0"/>
        <w:ind w:left="-5"/>
        <w:jc w:val="both"/>
        <w:rPr>
          <w:rFonts w:cstheme="minorHAnsi"/>
          <w:sz w:val="26"/>
          <w:szCs w:val="26"/>
        </w:rPr>
      </w:pPr>
    </w:p>
    <w:p w14:paraId="2CB2519C" w14:textId="23A2DCE9" w:rsidR="00604BB2" w:rsidRDefault="00604BB2" w:rsidP="00044331">
      <w:pPr>
        <w:spacing w:after="0"/>
        <w:ind w:left="-5"/>
        <w:jc w:val="both"/>
        <w:rPr>
          <w:rFonts w:cstheme="minorHAnsi"/>
          <w:sz w:val="26"/>
          <w:szCs w:val="26"/>
        </w:rPr>
      </w:pPr>
      <w:r>
        <w:rPr>
          <w:rFonts w:cstheme="minorHAnsi"/>
          <w:sz w:val="26"/>
          <w:szCs w:val="26"/>
        </w:rPr>
        <w:t>In order for a meaningful analysis, the wording of the proposed changes to the laws / rules / regulations should have be</w:t>
      </w:r>
      <w:r w:rsidR="00F81B76">
        <w:rPr>
          <w:rFonts w:cstheme="minorHAnsi"/>
          <w:sz w:val="26"/>
          <w:szCs w:val="26"/>
        </w:rPr>
        <w:t>en</w:t>
      </w:r>
      <w:r>
        <w:rPr>
          <w:rFonts w:cstheme="minorHAnsi"/>
          <w:sz w:val="26"/>
          <w:szCs w:val="26"/>
        </w:rPr>
        <w:t xml:space="preserve"> provided.</w:t>
      </w:r>
    </w:p>
    <w:p w14:paraId="4FF19228" w14:textId="77777777" w:rsidR="00604BB2" w:rsidRDefault="00604BB2" w:rsidP="00044331">
      <w:pPr>
        <w:spacing w:after="0"/>
        <w:ind w:left="-5"/>
        <w:jc w:val="both"/>
        <w:rPr>
          <w:rFonts w:cstheme="minorHAnsi"/>
          <w:sz w:val="26"/>
          <w:szCs w:val="26"/>
        </w:rPr>
      </w:pPr>
    </w:p>
    <w:p w14:paraId="0180E320" w14:textId="77777777" w:rsidR="00604BB2" w:rsidRDefault="00604BB2" w:rsidP="00044331">
      <w:pPr>
        <w:spacing w:after="0"/>
        <w:ind w:left="-5"/>
        <w:jc w:val="both"/>
        <w:rPr>
          <w:rFonts w:cstheme="minorHAnsi"/>
          <w:sz w:val="26"/>
          <w:szCs w:val="26"/>
        </w:rPr>
      </w:pPr>
      <w:r w:rsidRPr="007F0989">
        <w:rPr>
          <w:rFonts w:cstheme="minorHAnsi"/>
          <w:sz w:val="26"/>
          <w:szCs w:val="26"/>
        </w:rPr>
        <w:t xml:space="preserve">We would </w:t>
      </w:r>
      <w:r>
        <w:rPr>
          <w:rFonts w:cstheme="minorHAnsi"/>
          <w:sz w:val="26"/>
          <w:szCs w:val="26"/>
        </w:rPr>
        <w:t xml:space="preserve">further </w:t>
      </w:r>
      <w:r w:rsidRPr="007F0989">
        <w:rPr>
          <w:rFonts w:cstheme="minorHAnsi"/>
          <w:sz w:val="26"/>
          <w:szCs w:val="26"/>
        </w:rPr>
        <w:t>like to point out that Section 4(1)(c) of the Right to Information Act, 2005 provides that “</w:t>
      </w:r>
      <w:r w:rsidRPr="007F0989">
        <w:rPr>
          <w:rFonts w:cstheme="minorHAnsi"/>
          <w:i/>
          <w:sz w:val="26"/>
          <w:szCs w:val="26"/>
        </w:rPr>
        <w:t>Every Public Authority shall publish all relevant facts while formulating policies or announcing decisions which affect public</w:t>
      </w:r>
      <w:r w:rsidRPr="007F0989">
        <w:rPr>
          <w:rFonts w:cstheme="minorHAnsi"/>
          <w:sz w:val="26"/>
          <w:szCs w:val="26"/>
        </w:rPr>
        <w:t>”. At a minimum, the following data should be provided for aiding proper decision making by the public:</w:t>
      </w:r>
    </w:p>
    <w:p w14:paraId="4895E6E4" w14:textId="77777777" w:rsidR="00604BB2" w:rsidRPr="007F0989" w:rsidRDefault="00604BB2" w:rsidP="00044331">
      <w:pPr>
        <w:spacing w:after="0"/>
        <w:ind w:left="-5"/>
        <w:jc w:val="both"/>
        <w:rPr>
          <w:rFonts w:cstheme="minorHAnsi"/>
          <w:sz w:val="26"/>
          <w:szCs w:val="26"/>
        </w:rPr>
      </w:pPr>
    </w:p>
    <w:p w14:paraId="39C78F5F" w14:textId="77777777" w:rsidR="00604BB2" w:rsidRDefault="00604BB2" w:rsidP="00044331">
      <w:pPr>
        <w:pStyle w:val="ListParagraph"/>
        <w:numPr>
          <w:ilvl w:val="0"/>
          <w:numId w:val="2"/>
        </w:numPr>
        <w:spacing w:after="0"/>
        <w:jc w:val="both"/>
        <w:rPr>
          <w:rFonts w:asciiTheme="minorHAnsi" w:hAnsiTheme="minorHAnsi" w:cstheme="minorHAnsi"/>
          <w:szCs w:val="26"/>
        </w:rPr>
      </w:pPr>
      <w:r>
        <w:rPr>
          <w:rFonts w:asciiTheme="minorHAnsi" w:hAnsiTheme="minorHAnsi" w:cstheme="minorHAnsi"/>
          <w:szCs w:val="26"/>
        </w:rPr>
        <w:t>Status of employment in mining of major minerals, both by lease as well as over time.</w:t>
      </w:r>
    </w:p>
    <w:p w14:paraId="37D40CF3" w14:textId="77777777" w:rsidR="00604BB2" w:rsidRPr="007F0989" w:rsidRDefault="00604BB2" w:rsidP="00044331">
      <w:pPr>
        <w:pStyle w:val="ListParagraph"/>
        <w:numPr>
          <w:ilvl w:val="0"/>
          <w:numId w:val="2"/>
        </w:numPr>
        <w:spacing w:after="0"/>
        <w:jc w:val="both"/>
        <w:rPr>
          <w:rFonts w:asciiTheme="minorHAnsi" w:hAnsiTheme="minorHAnsi" w:cstheme="minorHAnsi"/>
          <w:szCs w:val="26"/>
        </w:rPr>
      </w:pPr>
      <w:r>
        <w:rPr>
          <w:rFonts w:asciiTheme="minorHAnsi" w:hAnsiTheme="minorHAnsi" w:cstheme="minorHAnsi"/>
          <w:szCs w:val="26"/>
        </w:rPr>
        <w:t>Status of exploration: A detailed status of exploration at various levels, including classification of blocks into G1, G2, etc</w:t>
      </w:r>
    </w:p>
    <w:p w14:paraId="5D018D28" w14:textId="77777777" w:rsidR="00604BB2" w:rsidRDefault="00604BB2" w:rsidP="00044331">
      <w:pPr>
        <w:pStyle w:val="ListParagraph"/>
        <w:numPr>
          <w:ilvl w:val="0"/>
          <w:numId w:val="2"/>
        </w:numPr>
        <w:spacing w:after="0"/>
        <w:jc w:val="both"/>
        <w:rPr>
          <w:rFonts w:asciiTheme="minorHAnsi" w:hAnsiTheme="minorHAnsi" w:cstheme="minorHAnsi"/>
          <w:szCs w:val="26"/>
        </w:rPr>
      </w:pPr>
      <w:r>
        <w:rPr>
          <w:rFonts w:asciiTheme="minorHAnsi" w:hAnsiTheme="minorHAnsi" w:cstheme="minorHAnsi"/>
          <w:szCs w:val="26"/>
        </w:rPr>
        <w:t>Status of m</w:t>
      </w:r>
      <w:r w:rsidRPr="007F0989">
        <w:rPr>
          <w:rFonts w:asciiTheme="minorHAnsi" w:hAnsiTheme="minorHAnsi" w:cstheme="minorHAnsi"/>
          <w:szCs w:val="26"/>
        </w:rPr>
        <w:t>ineral inventory: A detailed mineral inventory must be published giving each ore body location and other details. Where these are within existing mining leases, this information should also be provided.</w:t>
      </w:r>
      <w:r>
        <w:rPr>
          <w:rFonts w:asciiTheme="minorHAnsi" w:hAnsiTheme="minorHAnsi" w:cstheme="minorHAnsi"/>
          <w:szCs w:val="26"/>
        </w:rPr>
        <w:t xml:space="preserve"> </w:t>
      </w:r>
    </w:p>
    <w:p w14:paraId="1F91314B" w14:textId="77777777" w:rsidR="00604BB2" w:rsidRDefault="00604BB2" w:rsidP="00044331">
      <w:pPr>
        <w:pStyle w:val="ListParagraph"/>
        <w:numPr>
          <w:ilvl w:val="0"/>
          <w:numId w:val="2"/>
        </w:numPr>
        <w:spacing w:after="0"/>
        <w:jc w:val="both"/>
        <w:rPr>
          <w:rFonts w:asciiTheme="minorHAnsi" w:hAnsiTheme="minorHAnsi" w:cstheme="minorHAnsi"/>
          <w:szCs w:val="26"/>
        </w:rPr>
      </w:pPr>
      <w:r>
        <w:rPr>
          <w:rFonts w:asciiTheme="minorHAnsi" w:hAnsiTheme="minorHAnsi" w:cstheme="minorHAnsi"/>
          <w:szCs w:val="26"/>
        </w:rPr>
        <w:t xml:space="preserve">Current status of grant of major mineral leases, exploration status, approved production levels, actual production of minerals and actual employment from such leases. </w:t>
      </w:r>
    </w:p>
    <w:p w14:paraId="201CC418" w14:textId="77777777" w:rsidR="00604BB2" w:rsidRDefault="00604BB2" w:rsidP="00044331">
      <w:pPr>
        <w:pStyle w:val="ListParagraph"/>
        <w:numPr>
          <w:ilvl w:val="0"/>
          <w:numId w:val="2"/>
        </w:numPr>
        <w:spacing w:after="0"/>
        <w:jc w:val="both"/>
        <w:rPr>
          <w:rFonts w:asciiTheme="minorHAnsi" w:hAnsiTheme="minorHAnsi" w:cstheme="minorHAnsi"/>
          <w:szCs w:val="26"/>
        </w:rPr>
      </w:pPr>
      <w:r>
        <w:rPr>
          <w:rFonts w:asciiTheme="minorHAnsi" w:hAnsiTheme="minorHAnsi" w:cstheme="minorHAnsi"/>
          <w:szCs w:val="26"/>
        </w:rPr>
        <w:t>A list of all “potential leases” that are “blocked in legacy cases” under Sections 10A(2)(b) and 10A(2)(c), exploration status, reserves, lessees and the litigation and status thereof.</w:t>
      </w:r>
    </w:p>
    <w:p w14:paraId="0A9B88E4" w14:textId="77777777" w:rsidR="00604BB2" w:rsidRDefault="00604BB2" w:rsidP="00044331">
      <w:pPr>
        <w:pStyle w:val="ListParagraph"/>
        <w:numPr>
          <w:ilvl w:val="0"/>
          <w:numId w:val="2"/>
        </w:numPr>
        <w:spacing w:after="0"/>
        <w:jc w:val="both"/>
        <w:rPr>
          <w:rFonts w:asciiTheme="minorHAnsi" w:hAnsiTheme="minorHAnsi" w:cstheme="minorHAnsi"/>
          <w:szCs w:val="26"/>
        </w:rPr>
      </w:pPr>
      <w:r>
        <w:rPr>
          <w:rFonts w:asciiTheme="minorHAnsi" w:hAnsiTheme="minorHAnsi" w:cstheme="minorHAnsi"/>
          <w:szCs w:val="26"/>
        </w:rPr>
        <w:lastRenderedPageBreak/>
        <w:t>List of all captive mines with full details that would be impacted by changes to the limits of production that can be sold. It is also important to provide a list of all non-captive mines since those will also be impacted by this change.</w:t>
      </w:r>
    </w:p>
    <w:p w14:paraId="0BDF40D6" w14:textId="77777777" w:rsidR="00604BB2" w:rsidRDefault="00604BB2" w:rsidP="00044331">
      <w:pPr>
        <w:pStyle w:val="ListParagraph"/>
        <w:numPr>
          <w:ilvl w:val="0"/>
          <w:numId w:val="2"/>
        </w:numPr>
        <w:spacing w:after="0"/>
        <w:jc w:val="both"/>
        <w:rPr>
          <w:rFonts w:asciiTheme="minorHAnsi" w:hAnsiTheme="minorHAnsi" w:cstheme="minorHAnsi"/>
          <w:szCs w:val="26"/>
        </w:rPr>
      </w:pPr>
      <w:r>
        <w:rPr>
          <w:rFonts w:asciiTheme="minorHAnsi" w:hAnsiTheme="minorHAnsi" w:cstheme="minorHAnsi"/>
          <w:szCs w:val="26"/>
        </w:rPr>
        <w:t>A list of illegal mining cases over the last decade that would fall under the two categories, ie, illegal mining done outside leasehold areas and mining in violation of various clearances and approvals inside a mining area.</w:t>
      </w:r>
    </w:p>
    <w:p w14:paraId="0EC71974" w14:textId="77777777" w:rsidR="00604BB2" w:rsidRDefault="00604BB2" w:rsidP="00044331">
      <w:pPr>
        <w:pStyle w:val="ListParagraph"/>
        <w:numPr>
          <w:ilvl w:val="0"/>
          <w:numId w:val="2"/>
        </w:numPr>
        <w:spacing w:after="0"/>
        <w:jc w:val="both"/>
        <w:rPr>
          <w:rFonts w:asciiTheme="minorHAnsi" w:hAnsiTheme="minorHAnsi" w:cstheme="minorHAnsi"/>
          <w:szCs w:val="26"/>
        </w:rPr>
      </w:pPr>
      <w:r>
        <w:rPr>
          <w:rFonts w:asciiTheme="minorHAnsi" w:hAnsiTheme="minorHAnsi" w:cstheme="minorHAnsi"/>
          <w:szCs w:val="26"/>
        </w:rPr>
        <w:t>Stamp duty laws of various states, amounts collected by way of stamp duty, and the extent of change in state revenue from the proposed change.</w:t>
      </w:r>
    </w:p>
    <w:p w14:paraId="0728241A" w14:textId="77777777" w:rsidR="00604BB2" w:rsidRDefault="00604BB2" w:rsidP="00044331">
      <w:pPr>
        <w:pStyle w:val="ListParagraph"/>
        <w:numPr>
          <w:ilvl w:val="0"/>
          <w:numId w:val="2"/>
        </w:numPr>
        <w:spacing w:after="0"/>
        <w:jc w:val="both"/>
        <w:rPr>
          <w:rFonts w:asciiTheme="minorHAnsi" w:hAnsiTheme="minorHAnsi" w:cstheme="minorHAnsi"/>
          <w:szCs w:val="26"/>
        </w:rPr>
      </w:pPr>
      <w:r>
        <w:rPr>
          <w:rFonts w:asciiTheme="minorHAnsi" w:hAnsiTheme="minorHAnsi" w:cstheme="minorHAnsi"/>
          <w:szCs w:val="26"/>
        </w:rPr>
        <w:t>On the DMF, the relevant section from the Parliamentary Committee should have been made available, along with analysis to what extent DMF monies have been used for tangible assets versus other uses. There should have also been some analysis why an amendment is required instead of a notification under Section 20A of the existing PMKKKY.</w:t>
      </w:r>
    </w:p>
    <w:p w14:paraId="29FDAC53" w14:textId="77777777" w:rsidR="00604BB2" w:rsidRDefault="00604BB2" w:rsidP="00044331">
      <w:pPr>
        <w:pStyle w:val="ListParagraph"/>
        <w:numPr>
          <w:ilvl w:val="0"/>
          <w:numId w:val="2"/>
        </w:numPr>
        <w:spacing w:after="0"/>
        <w:jc w:val="both"/>
        <w:rPr>
          <w:rFonts w:asciiTheme="minorHAnsi" w:hAnsiTheme="minorHAnsi" w:cstheme="minorHAnsi"/>
          <w:szCs w:val="26"/>
        </w:rPr>
      </w:pPr>
      <w:r>
        <w:rPr>
          <w:rFonts w:asciiTheme="minorHAnsi" w:hAnsiTheme="minorHAnsi" w:cstheme="minorHAnsi"/>
          <w:szCs w:val="26"/>
        </w:rPr>
        <w:t>A list of unused blocks along with the allottee and the time that it has been unused would be necessary to comment on the recommendations</w:t>
      </w:r>
    </w:p>
    <w:p w14:paraId="03C8AC72" w14:textId="77777777" w:rsidR="00604BB2" w:rsidRDefault="00604BB2" w:rsidP="00044331">
      <w:pPr>
        <w:pStyle w:val="ListParagraph"/>
        <w:numPr>
          <w:ilvl w:val="0"/>
          <w:numId w:val="2"/>
        </w:numPr>
        <w:spacing w:after="0"/>
        <w:jc w:val="both"/>
        <w:rPr>
          <w:rFonts w:asciiTheme="minorHAnsi" w:hAnsiTheme="minorHAnsi" w:cstheme="minorHAnsi"/>
          <w:szCs w:val="26"/>
        </w:rPr>
      </w:pPr>
      <w:r>
        <w:rPr>
          <w:rFonts w:asciiTheme="minorHAnsi" w:hAnsiTheme="minorHAnsi" w:cstheme="minorHAnsi"/>
          <w:szCs w:val="26"/>
        </w:rPr>
        <w:t>A list of the entities notified under Section 4(1) of the MMDR Act should have been made available. It is not clear if it is intended that any entity with a mineral lease would be eligible for using NMET funds, or just the entities named in the second proviso</w:t>
      </w:r>
    </w:p>
    <w:p w14:paraId="448C3F0C" w14:textId="77777777" w:rsidR="00604BB2" w:rsidRPr="007F0989" w:rsidRDefault="00604BB2" w:rsidP="00044331">
      <w:pPr>
        <w:pStyle w:val="ListParagraph"/>
        <w:spacing w:after="0"/>
        <w:ind w:left="360" w:firstLine="0"/>
        <w:jc w:val="both"/>
        <w:rPr>
          <w:rFonts w:asciiTheme="minorHAnsi" w:hAnsiTheme="minorHAnsi" w:cstheme="minorHAnsi"/>
          <w:szCs w:val="26"/>
        </w:rPr>
      </w:pPr>
    </w:p>
    <w:p w14:paraId="535B7A96" w14:textId="77777777" w:rsidR="00604BB2" w:rsidRDefault="00604BB2" w:rsidP="00044331">
      <w:pPr>
        <w:spacing w:after="0"/>
        <w:ind w:left="-5"/>
        <w:jc w:val="both"/>
        <w:rPr>
          <w:rFonts w:cstheme="minorHAnsi"/>
          <w:sz w:val="26"/>
          <w:szCs w:val="26"/>
        </w:rPr>
      </w:pPr>
      <w:r w:rsidRPr="007F0989">
        <w:rPr>
          <w:rFonts w:cstheme="minorHAnsi"/>
          <w:sz w:val="26"/>
          <w:szCs w:val="26"/>
        </w:rPr>
        <w:t>All the source data, calculations and conclusions should be made available to the public prior to asking for comments.</w:t>
      </w:r>
    </w:p>
    <w:p w14:paraId="777AB46A" w14:textId="77777777" w:rsidR="00604BB2" w:rsidRDefault="00604BB2" w:rsidP="00044331">
      <w:pPr>
        <w:spacing w:after="0"/>
        <w:ind w:left="-5"/>
        <w:jc w:val="both"/>
        <w:rPr>
          <w:rFonts w:cstheme="minorHAnsi"/>
          <w:sz w:val="26"/>
          <w:szCs w:val="26"/>
        </w:rPr>
      </w:pPr>
    </w:p>
    <w:p w14:paraId="3968443D" w14:textId="1DFDECC5" w:rsidR="00604BB2" w:rsidRDefault="00604BB2" w:rsidP="00044331">
      <w:pPr>
        <w:spacing w:after="0"/>
        <w:ind w:left="-5"/>
        <w:jc w:val="both"/>
        <w:rPr>
          <w:rFonts w:cstheme="minorHAnsi"/>
          <w:sz w:val="26"/>
          <w:szCs w:val="26"/>
        </w:rPr>
      </w:pPr>
      <w:r>
        <w:rPr>
          <w:rFonts w:cstheme="minorHAnsi"/>
          <w:sz w:val="26"/>
          <w:szCs w:val="26"/>
        </w:rPr>
        <w:t xml:space="preserve">And finally, since most of the minerals are in areas most in need of employment generation, it would have been appropriate to have the notice available in languages spoken in those areas, at a minimum, the official languages of the affected states. </w:t>
      </w:r>
    </w:p>
    <w:p w14:paraId="317115C9" w14:textId="5A5DA027" w:rsidR="005929C9" w:rsidRDefault="005929C9" w:rsidP="00044331">
      <w:pPr>
        <w:spacing w:after="0"/>
        <w:ind w:left="-5"/>
        <w:jc w:val="both"/>
        <w:rPr>
          <w:rFonts w:cstheme="minorHAnsi"/>
          <w:sz w:val="26"/>
          <w:szCs w:val="26"/>
        </w:rPr>
      </w:pPr>
    </w:p>
    <w:p w14:paraId="54D5D3BB" w14:textId="7D34330D" w:rsidR="005929C9" w:rsidRPr="007F0989" w:rsidRDefault="005929C9" w:rsidP="00044331">
      <w:pPr>
        <w:spacing w:after="0"/>
        <w:ind w:left="-5"/>
        <w:jc w:val="both"/>
        <w:rPr>
          <w:rFonts w:cstheme="minorHAnsi"/>
          <w:sz w:val="26"/>
          <w:szCs w:val="26"/>
        </w:rPr>
      </w:pPr>
      <w:r>
        <w:rPr>
          <w:rFonts w:cstheme="minorHAnsi"/>
          <w:sz w:val="26"/>
          <w:szCs w:val="26"/>
        </w:rPr>
        <w:t>We urge you to kindly address the concerns stated above and sincerely hope that such policy changes and decisions follow a robust democratic process where the citizens of this country are considered as the primary stakeholders.</w:t>
      </w:r>
    </w:p>
    <w:p w14:paraId="700EAA34" w14:textId="77777777" w:rsidR="00604BB2" w:rsidRPr="00FA0CAE" w:rsidRDefault="00604BB2" w:rsidP="00044331">
      <w:pPr>
        <w:spacing w:after="0"/>
        <w:ind w:left="-5"/>
        <w:jc w:val="both"/>
        <w:rPr>
          <w:rFonts w:cstheme="minorHAnsi"/>
          <w:sz w:val="26"/>
          <w:szCs w:val="26"/>
        </w:rPr>
      </w:pPr>
    </w:p>
    <w:p w14:paraId="7DA4891E" w14:textId="2F00DF59" w:rsidR="00604BB2" w:rsidRDefault="00604BB2" w:rsidP="00044331">
      <w:pPr>
        <w:spacing w:after="0"/>
        <w:ind w:left="-5"/>
        <w:jc w:val="both"/>
        <w:rPr>
          <w:rFonts w:cstheme="minorHAnsi"/>
          <w:sz w:val="26"/>
          <w:szCs w:val="26"/>
        </w:rPr>
      </w:pPr>
      <w:r>
        <w:rPr>
          <w:rFonts w:cstheme="minorHAnsi"/>
          <w:sz w:val="26"/>
          <w:szCs w:val="26"/>
        </w:rPr>
        <w:t>Best wishes</w:t>
      </w:r>
    </w:p>
    <w:p w14:paraId="4F851C05" w14:textId="4090B89E" w:rsidR="00765BB6" w:rsidRDefault="00765BB6" w:rsidP="00044331">
      <w:pPr>
        <w:spacing w:after="0"/>
        <w:ind w:left="-5"/>
        <w:jc w:val="both"/>
        <w:rPr>
          <w:rFonts w:cstheme="minorHAnsi"/>
          <w:sz w:val="26"/>
          <w:szCs w:val="26"/>
        </w:rPr>
      </w:pPr>
    </w:p>
    <w:p w14:paraId="0B076636" w14:textId="5612F0EC" w:rsidR="00765BB6" w:rsidRDefault="00765BB6" w:rsidP="00044331">
      <w:pPr>
        <w:spacing w:after="0"/>
        <w:ind w:left="-5"/>
        <w:jc w:val="both"/>
        <w:rPr>
          <w:rFonts w:cstheme="minorHAnsi"/>
          <w:sz w:val="26"/>
          <w:szCs w:val="26"/>
        </w:rPr>
      </w:pPr>
      <w:r>
        <w:rPr>
          <w:rFonts w:cstheme="minorHAnsi"/>
          <w:sz w:val="26"/>
          <w:szCs w:val="26"/>
        </w:rPr>
        <w:t>Saswati Swetlena</w:t>
      </w:r>
    </w:p>
    <w:p w14:paraId="2FB16434" w14:textId="50624263" w:rsidR="00765BB6" w:rsidRPr="00FA0CAE" w:rsidRDefault="00765BB6" w:rsidP="00044331">
      <w:pPr>
        <w:spacing w:after="0"/>
        <w:ind w:left="-5"/>
        <w:jc w:val="both"/>
        <w:rPr>
          <w:rFonts w:cstheme="minorHAnsi"/>
          <w:sz w:val="26"/>
          <w:szCs w:val="26"/>
        </w:rPr>
      </w:pPr>
      <w:r>
        <w:rPr>
          <w:rFonts w:cstheme="minorHAnsi"/>
          <w:sz w:val="26"/>
          <w:szCs w:val="26"/>
        </w:rPr>
        <w:t>National Coordinator</w:t>
      </w:r>
    </w:p>
    <w:p w14:paraId="2D24C488" w14:textId="16EC8F20" w:rsidR="00604BB2" w:rsidRDefault="00765BB6" w:rsidP="00044331">
      <w:pPr>
        <w:spacing w:after="0"/>
        <w:jc w:val="both"/>
        <w:rPr>
          <w:rFonts w:cstheme="minorHAnsi"/>
          <w:sz w:val="26"/>
          <w:szCs w:val="26"/>
        </w:rPr>
      </w:pPr>
      <w:r>
        <w:rPr>
          <w:rFonts w:cstheme="minorHAnsi"/>
          <w:sz w:val="26"/>
          <w:szCs w:val="26"/>
        </w:rPr>
        <w:t xml:space="preserve">(On behalf of </w:t>
      </w:r>
      <w:r w:rsidR="00C3551E">
        <w:rPr>
          <w:rFonts w:cstheme="minorHAnsi"/>
          <w:sz w:val="26"/>
          <w:szCs w:val="26"/>
        </w:rPr>
        <w:t>Members of the Steering Committee,</w:t>
      </w:r>
      <w:r w:rsidR="00F81B76">
        <w:rPr>
          <w:rFonts w:cstheme="minorHAnsi"/>
          <w:sz w:val="26"/>
          <w:szCs w:val="26"/>
        </w:rPr>
        <w:t xml:space="preserve"> Mineral Inheritors Rights Association</w:t>
      </w:r>
      <w:r>
        <w:rPr>
          <w:rFonts w:cstheme="minorHAnsi"/>
          <w:sz w:val="26"/>
          <w:szCs w:val="26"/>
        </w:rPr>
        <w:t>)</w:t>
      </w:r>
    </w:p>
    <w:p w14:paraId="633F540F" w14:textId="0F88A5E9" w:rsidR="00C3551E" w:rsidRDefault="00C3551E" w:rsidP="00044331">
      <w:pPr>
        <w:spacing w:after="0"/>
        <w:jc w:val="both"/>
        <w:rPr>
          <w:rFonts w:cstheme="minorHAnsi"/>
          <w:sz w:val="26"/>
          <w:szCs w:val="26"/>
        </w:rPr>
      </w:pPr>
    </w:p>
    <w:p w14:paraId="17B5E993" w14:textId="33B42188" w:rsidR="00604BB2" w:rsidRPr="00604BB2" w:rsidRDefault="00C3551E" w:rsidP="00765BB6">
      <w:pPr>
        <w:spacing w:after="0"/>
        <w:jc w:val="both"/>
        <w:rPr>
          <w:b/>
          <w:bCs/>
          <w:sz w:val="36"/>
          <w:szCs w:val="36"/>
        </w:rPr>
      </w:pPr>
      <w:r>
        <w:rPr>
          <w:rFonts w:cstheme="minorHAnsi"/>
          <w:sz w:val="26"/>
          <w:szCs w:val="26"/>
        </w:rPr>
        <w:t>(</w:t>
      </w:r>
      <w:r w:rsidRPr="00C3551E">
        <w:rPr>
          <w:rFonts w:cstheme="minorHAnsi"/>
          <w:i/>
          <w:iCs/>
          <w:sz w:val="26"/>
          <w:szCs w:val="26"/>
        </w:rPr>
        <w:t>Mineral Inheritors Rights Association is an association of several civil society groups and networks</w:t>
      </w:r>
      <w:r w:rsidR="00270F63">
        <w:rPr>
          <w:rFonts w:cstheme="minorHAnsi"/>
          <w:i/>
          <w:iCs/>
          <w:sz w:val="26"/>
          <w:szCs w:val="26"/>
        </w:rPr>
        <w:t xml:space="preserve"> in India</w:t>
      </w:r>
      <w:r w:rsidRPr="00C3551E">
        <w:rPr>
          <w:rFonts w:cstheme="minorHAnsi"/>
          <w:i/>
          <w:iCs/>
          <w:sz w:val="26"/>
          <w:szCs w:val="26"/>
        </w:rPr>
        <w:t xml:space="preserve"> working to ensure democracy, social justice, equity, transparency, and accountability in governance</w:t>
      </w:r>
      <w:r>
        <w:rPr>
          <w:rFonts w:cstheme="minorHAnsi"/>
          <w:sz w:val="26"/>
          <w:szCs w:val="26"/>
        </w:rPr>
        <w:t>)</w:t>
      </w:r>
    </w:p>
    <w:sectPr w:rsidR="00604BB2" w:rsidRPr="00604B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F5AC1" w14:textId="77777777" w:rsidR="000165D6" w:rsidRDefault="000165D6" w:rsidP="00604BB2">
      <w:pPr>
        <w:spacing w:after="0" w:line="240" w:lineRule="auto"/>
      </w:pPr>
      <w:r>
        <w:separator/>
      </w:r>
    </w:p>
  </w:endnote>
  <w:endnote w:type="continuationSeparator" w:id="0">
    <w:p w14:paraId="154918DE" w14:textId="77777777" w:rsidR="000165D6" w:rsidRDefault="000165D6" w:rsidP="00604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E9230" w14:textId="77777777" w:rsidR="000165D6" w:rsidRDefault="000165D6" w:rsidP="00604BB2">
      <w:pPr>
        <w:spacing w:after="0" w:line="240" w:lineRule="auto"/>
      </w:pPr>
      <w:r>
        <w:separator/>
      </w:r>
    </w:p>
  </w:footnote>
  <w:footnote w:type="continuationSeparator" w:id="0">
    <w:p w14:paraId="6D70E1C6" w14:textId="77777777" w:rsidR="000165D6" w:rsidRDefault="000165D6" w:rsidP="00604BB2">
      <w:pPr>
        <w:spacing w:after="0" w:line="240" w:lineRule="auto"/>
      </w:pPr>
      <w:r>
        <w:continuationSeparator/>
      </w:r>
    </w:p>
  </w:footnote>
  <w:footnote w:id="1">
    <w:p w14:paraId="36770154" w14:textId="77777777" w:rsidR="00604BB2" w:rsidRDefault="00604BB2" w:rsidP="00604BB2">
      <w:pPr>
        <w:pStyle w:val="FootnoteText"/>
      </w:pPr>
      <w:r>
        <w:rPr>
          <w:rStyle w:val="FootnoteReference"/>
        </w:rPr>
        <w:footnoteRef/>
      </w:r>
      <w:r>
        <w:t xml:space="preserve"> </w:t>
      </w:r>
      <w:hyperlink r:id="rId1" w:history="1">
        <w:r w:rsidRPr="00321EE5">
          <w:rPr>
            <w:rStyle w:val="Hyperlink"/>
            <w:lang w:val="en-IN"/>
          </w:rPr>
          <w:t>http://legislative.gov.in/documents/pre-legislative-consultation-policy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D3077"/>
    <w:multiLevelType w:val="hybridMultilevel"/>
    <w:tmpl w:val="F3A8F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CF27B9"/>
    <w:multiLevelType w:val="hybridMultilevel"/>
    <w:tmpl w:val="F3A8F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B2"/>
    <w:rsid w:val="000165D6"/>
    <w:rsid w:val="00044331"/>
    <w:rsid w:val="001849C3"/>
    <w:rsid w:val="001B0142"/>
    <w:rsid w:val="001B687E"/>
    <w:rsid w:val="001E3C0F"/>
    <w:rsid w:val="00270F63"/>
    <w:rsid w:val="00313375"/>
    <w:rsid w:val="003F2A25"/>
    <w:rsid w:val="005929C9"/>
    <w:rsid w:val="00604BB2"/>
    <w:rsid w:val="00765BB6"/>
    <w:rsid w:val="007B266D"/>
    <w:rsid w:val="00C3551E"/>
    <w:rsid w:val="00F81B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39C6"/>
  <w15:chartTrackingRefBased/>
  <w15:docId w15:val="{0AAA67A7-F8BD-477C-9B76-DB4235F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04BB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04BB2"/>
    <w:rPr>
      <w:i/>
      <w:iCs/>
      <w:color w:val="4472C4" w:themeColor="accent1"/>
    </w:rPr>
  </w:style>
  <w:style w:type="character" w:styleId="FootnoteReference">
    <w:name w:val="footnote reference"/>
    <w:uiPriority w:val="99"/>
    <w:rsid w:val="00604BB2"/>
    <w:rPr>
      <w:vertAlign w:val="superscript"/>
    </w:rPr>
  </w:style>
  <w:style w:type="paragraph" w:styleId="BodyText">
    <w:name w:val="Body Text"/>
    <w:basedOn w:val="Normal"/>
    <w:link w:val="BodyTextChar"/>
    <w:rsid w:val="00604BB2"/>
    <w:pPr>
      <w:widowControl w:val="0"/>
      <w:suppressAutoHyphens/>
      <w:spacing w:after="120" w:line="240" w:lineRule="auto"/>
    </w:pPr>
    <w:rPr>
      <w:rFonts w:ascii="Times New Roman" w:eastAsia="Times New Roman" w:hAnsi="Times New Roman" w:cs="Times New Roman"/>
      <w:sz w:val="24"/>
      <w:szCs w:val="24"/>
      <w:lang w:val="en-US" w:eastAsia="zh-CN"/>
    </w:rPr>
  </w:style>
  <w:style w:type="character" w:customStyle="1" w:styleId="BodyTextChar">
    <w:name w:val="Body Text Char"/>
    <w:basedOn w:val="DefaultParagraphFont"/>
    <w:link w:val="BodyText"/>
    <w:rsid w:val="00604BB2"/>
    <w:rPr>
      <w:rFonts w:ascii="Times New Roman" w:eastAsia="Times New Roman" w:hAnsi="Times New Roman" w:cs="Times New Roman"/>
      <w:sz w:val="24"/>
      <w:szCs w:val="24"/>
      <w:lang w:val="en-US" w:eastAsia="zh-CN"/>
    </w:rPr>
  </w:style>
  <w:style w:type="paragraph" w:styleId="FootnoteText">
    <w:name w:val="footnote text"/>
    <w:basedOn w:val="Normal"/>
    <w:link w:val="FootnoteTextChar"/>
    <w:uiPriority w:val="99"/>
    <w:rsid w:val="00604BB2"/>
    <w:pPr>
      <w:widowControl w:val="0"/>
      <w:suppressLineNumbers/>
      <w:suppressAutoHyphens/>
      <w:spacing w:after="0" w:line="240" w:lineRule="auto"/>
      <w:ind w:left="339" w:hanging="339"/>
    </w:pPr>
    <w:rPr>
      <w:rFonts w:ascii="Times New Roman" w:eastAsia="Times New Roman" w:hAnsi="Times New Roman" w:cs="Times New Roman"/>
      <w:sz w:val="20"/>
      <w:szCs w:val="20"/>
      <w:lang w:val="en-US" w:eastAsia="zh-CN"/>
    </w:rPr>
  </w:style>
  <w:style w:type="character" w:customStyle="1" w:styleId="FootnoteTextChar">
    <w:name w:val="Footnote Text Char"/>
    <w:basedOn w:val="DefaultParagraphFont"/>
    <w:link w:val="FootnoteText"/>
    <w:uiPriority w:val="99"/>
    <w:rsid w:val="00604BB2"/>
    <w:rPr>
      <w:rFonts w:ascii="Times New Roman" w:eastAsia="Times New Roman" w:hAnsi="Times New Roman" w:cs="Times New Roman"/>
      <w:sz w:val="20"/>
      <w:szCs w:val="20"/>
      <w:lang w:val="en-US" w:eastAsia="zh-CN"/>
    </w:rPr>
  </w:style>
  <w:style w:type="character" w:styleId="Hyperlink">
    <w:name w:val="Hyperlink"/>
    <w:basedOn w:val="DefaultParagraphFont"/>
    <w:uiPriority w:val="99"/>
    <w:unhideWhenUsed/>
    <w:rsid w:val="00604BB2"/>
    <w:rPr>
      <w:color w:val="0563C1"/>
      <w:u w:val="single"/>
    </w:rPr>
  </w:style>
  <w:style w:type="paragraph" w:styleId="NoSpacing">
    <w:name w:val="No Spacing"/>
    <w:uiPriority w:val="1"/>
    <w:qFormat/>
    <w:rsid w:val="00604BB2"/>
    <w:pPr>
      <w:spacing w:after="0" w:line="240" w:lineRule="auto"/>
      <w:ind w:left="10" w:hanging="10"/>
    </w:pPr>
    <w:rPr>
      <w:rFonts w:ascii="Cambria" w:eastAsia="Cambria" w:hAnsi="Cambria" w:cs="Mangal"/>
      <w:color w:val="000000"/>
      <w:sz w:val="26"/>
      <w:szCs w:val="20"/>
      <w:lang w:val="en-US" w:bidi="hi-IN"/>
    </w:rPr>
  </w:style>
  <w:style w:type="paragraph" w:styleId="ListParagraph">
    <w:name w:val="List Paragraph"/>
    <w:basedOn w:val="Normal"/>
    <w:uiPriority w:val="34"/>
    <w:qFormat/>
    <w:rsid w:val="00604BB2"/>
    <w:pPr>
      <w:spacing w:after="189" w:line="248" w:lineRule="auto"/>
      <w:ind w:left="720" w:hanging="10"/>
      <w:contextualSpacing/>
    </w:pPr>
    <w:rPr>
      <w:rFonts w:ascii="Cambria" w:eastAsia="Cambria" w:hAnsi="Cambria" w:cs="Mangal"/>
      <w:color w:val="000000"/>
      <w:sz w:val="26"/>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egislative.gov.in/documents/pre-legislative-consulta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saswati swetlena</dc:creator>
  <cp:keywords/>
  <dc:description/>
  <cp:lastModifiedBy>saswati swetlena</cp:lastModifiedBy>
  <cp:revision>6</cp:revision>
  <dcterms:created xsi:type="dcterms:W3CDTF">2020-08-26T06:37:00Z</dcterms:created>
  <dcterms:modified xsi:type="dcterms:W3CDTF">2020-08-28T12:33:00Z</dcterms:modified>
</cp:coreProperties>
</file>